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B5540" w14:textId="77777777" w:rsidR="001F2B6D" w:rsidRPr="001A69C6" w:rsidRDefault="00000000">
      <w:pPr>
        <w:spacing w:after="60"/>
        <w:jc w:val="center"/>
        <w:rPr>
          <w:color w:val="000000" w:themeColor="text1"/>
        </w:rPr>
      </w:pPr>
      <w:r w:rsidRPr="001A69C6">
        <w:rPr>
          <w:b/>
          <w:bCs/>
          <w:color w:val="000000" w:themeColor="text1"/>
          <w:sz w:val="28"/>
          <w:szCs w:val="28"/>
        </w:rPr>
        <w:t>Predictive Analytics for Athlete Performance: A Machine Learning Approach Using Wearable Sensor Data</w:t>
      </w:r>
    </w:p>
    <w:p w14:paraId="44126CC3" w14:textId="77777777" w:rsidR="001F2B6D" w:rsidRDefault="001F2B6D">
      <w:pPr>
        <w:spacing w:after="80"/>
      </w:pPr>
    </w:p>
    <w:p w14:paraId="11E36011" w14:textId="37E7E599" w:rsidR="001F2B6D" w:rsidRPr="00A43AAD" w:rsidRDefault="00000000">
      <w:pPr>
        <w:spacing w:after="40"/>
        <w:jc w:val="center"/>
        <w:rPr>
          <w:color w:val="000000" w:themeColor="text1"/>
        </w:rPr>
      </w:pPr>
      <w:r w:rsidRPr="00A43AAD">
        <w:rPr>
          <w:rFonts w:ascii="Arial" w:eastAsia="Arial" w:hAnsi="Arial" w:cs="Arial"/>
          <w:b/>
          <w:bCs/>
          <w:color w:val="000000" w:themeColor="text1"/>
        </w:rPr>
        <w:t>Ahmed Al-Rashidi</w:t>
      </w:r>
      <w:r w:rsidRPr="00A43AAD">
        <w:rPr>
          <w:rFonts w:ascii="Arial" w:eastAsia="Arial" w:hAnsi="Arial" w:cs="Arial"/>
          <w:b/>
          <w:bCs/>
          <w:color w:val="000000" w:themeColor="text1"/>
          <w:sz w:val="16"/>
          <w:szCs w:val="16"/>
        </w:rPr>
        <w:t>¹*</w:t>
      </w:r>
      <w:r w:rsidR="001A69C6" w:rsidRPr="00A43AAD">
        <w:rPr>
          <w:rFonts w:ascii="Arial" w:eastAsia="Arial" w:hAnsi="Arial" w:cs="Arial"/>
          <w:b/>
          <w:bCs/>
          <w:color w:val="000000" w:themeColor="text1"/>
        </w:rPr>
        <w:t>, Sarah</w:t>
      </w:r>
      <w:r w:rsidRPr="00A43AAD">
        <w:rPr>
          <w:rFonts w:ascii="Arial" w:eastAsia="Arial" w:hAnsi="Arial" w:cs="Arial"/>
          <w:b/>
          <w:bCs/>
          <w:color w:val="000000" w:themeColor="text1"/>
        </w:rPr>
        <w:t xml:space="preserve"> M. Thompson</w:t>
      </w:r>
      <w:r w:rsidR="001A69C6" w:rsidRPr="00A43AAD">
        <w:rPr>
          <w:rFonts w:ascii="Arial" w:eastAsia="Arial" w:hAnsi="Arial" w:cs="Arial"/>
          <w:b/>
          <w:bCs/>
          <w:color w:val="000000" w:themeColor="text1"/>
          <w:sz w:val="16"/>
          <w:szCs w:val="16"/>
        </w:rPr>
        <w:t>²</w:t>
      </w:r>
      <w:r w:rsidR="001A69C6" w:rsidRPr="00A43AAD">
        <w:rPr>
          <w:rFonts w:ascii="Arial" w:eastAsia="Arial" w:hAnsi="Arial" w:cs="Arial"/>
          <w:b/>
          <w:bCs/>
          <w:color w:val="000000" w:themeColor="text1"/>
        </w:rPr>
        <w:t>, Khalid</w:t>
      </w:r>
      <w:r w:rsidRPr="00A43AAD">
        <w:rPr>
          <w:rFonts w:ascii="Arial" w:eastAsia="Arial" w:hAnsi="Arial" w:cs="Arial"/>
          <w:b/>
          <w:bCs/>
          <w:color w:val="000000" w:themeColor="text1"/>
        </w:rPr>
        <w:t xml:space="preserve"> Al-Mansoori</w:t>
      </w:r>
      <w:r w:rsidRPr="00A43AAD">
        <w:rPr>
          <w:rFonts w:ascii="Arial" w:eastAsia="Arial" w:hAnsi="Arial" w:cs="Arial"/>
          <w:b/>
          <w:bCs/>
          <w:color w:val="000000" w:themeColor="text1"/>
          <w:sz w:val="16"/>
          <w:szCs w:val="16"/>
        </w:rPr>
        <w:t>¹</w:t>
      </w:r>
    </w:p>
    <w:p w14:paraId="5AE91CE1" w14:textId="77777777" w:rsidR="001F2B6D" w:rsidRDefault="00000000">
      <w:pPr>
        <w:spacing w:before="50" w:after="20"/>
        <w:jc w:val="center"/>
      </w:pPr>
      <w:r>
        <w:rPr>
          <w:rFonts w:ascii="Arial" w:eastAsia="Arial" w:hAnsi="Arial" w:cs="Arial"/>
          <w:color w:val="C8102E"/>
          <w:sz w:val="16"/>
          <w:szCs w:val="16"/>
        </w:rPr>
        <w:t xml:space="preserve">¹ </w:t>
      </w:r>
      <w:r>
        <w:rPr>
          <w:rFonts w:ascii="Arial" w:eastAsia="Arial" w:hAnsi="Arial" w:cs="Arial"/>
          <w:i/>
          <w:iCs/>
          <w:color w:val="444444"/>
          <w:sz w:val="16"/>
          <w:szCs w:val="16"/>
        </w:rPr>
        <w:t>Department of Computer Science and Software Engineering, College of IT, United Arab Emirates University, Al Ain, UAE</w:t>
      </w:r>
    </w:p>
    <w:p w14:paraId="3C05C020" w14:textId="77777777" w:rsidR="001F2B6D" w:rsidRDefault="00000000">
      <w:pPr>
        <w:spacing w:after="20"/>
        <w:jc w:val="center"/>
      </w:pPr>
      <w:r>
        <w:rPr>
          <w:rFonts w:ascii="Arial" w:eastAsia="Arial" w:hAnsi="Arial" w:cs="Arial"/>
          <w:color w:val="C8102E"/>
          <w:sz w:val="16"/>
          <w:szCs w:val="16"/>
        </w:rPr>
        <w:t xml:space="preserve">² </w:t>
      </w:r>
      <w:r>
        <w:rPr>
          <w:rFonts w:ascii="Arial" w:eastAsia="Arial" w:hAnsi="Arial" w:cs="Arial"/>
          <w:i/>
          <w:iCs/>
          <w:color w:val="444444"/>
          <w:sz w:val="16"/>
          <w:szCs w:val="16"/>
        </w:rPr>
        <w:t>Sports Analytics Research Centre, Loughborough University, Loughborough, UK</w:t>
      </w:r>
    </w:p>
    <w:p w14:paraId="43A8640A" w14:textId="202856ED" w:rsidR="001F2B6D" w:rsidRDefault="00000000">
      <w:pPr>
        <w:spacing w:after="80"/>
        <w:jc w:val="center"/>
        <w:rPr>
          <w:rFonts w:ascii="Arial" w:eastAsia="Arial" w:hAnsi="Arial" w:cs="Arial"/>
          <w:color w:val="006633"/>
          <w:sz w:val="16"/>
          <w:szCs w:val="16"/>
        </w:rPr>
      </w:pPr>
      <w:r>
        <w:rPr>
          <w:rFonts w:ascii="Arial" w:eastAsia="Arial" w:hAnsi="Arial" w:cs="Arial"/>
          <w:color w:val="444444"/>
          <w:sz w:val="16"/>
          <w:szCs w:val="16"/>
        </w:rPr>
        <w:t xml:space="preserve">* Corresponding author: </w:t>
      </w:r>
      <w:hyperlink r:id="rId7" w:history="1">
        <w:r w:rsidR="001A69C6" w:rsidRPr="00C75AFB">
          <w:rPr>
            <w:rStyle w:val="Hyperlink"/>
            <w:rFonts w:ascii="Arial" w:eastAsia="Arial" w:hAnsi="Arial" w:cs="Arial"/>
            <w:sz w:val="16"/>
            <w:szCs w:val="16"/>
          </w:rPr>
          <w:t>a.alrashidi@uaeu.ac.ae</w:t>
        </w:r>
      </w:hyperlink>
      <w:r w:rsidR="001A69C6">
        <w:rPr>
          <w:rFonts w:ascii="Arial" w:eastAsia="Arial" w:hAnsi="Arial" w:cs="Arial"/>
          <w:color w:val="006633"/>
          <w:sz w:val="16"/>
          <w:szCs w:val="16"/>
        </w:rPr>
        <w:t xml:space="preserve"> </w:t>
      </w:r>
    </w:p>
    <w:p w14:paraId="3942B700" w14:textId="77777777" w:rsidR="00F002F4" w:rsidRDefault="00F002F4">
      <w:pPr>
        <w:spacing w:after="80"/>
        <w:jc w:val="center"/>
        <w:rPr>
          <w:rFonts w:ascii="Arial" w:eastAsia="Arial" w:hAnsi="Arial" w:cs="Arial"/>
          <w:color w:val="006633"/>
          <w:sz w:val="16"/>
          <w:szCs w:val="16"/>
        </w:rPr>
      </w:pPr>
    </w:p>
    <w:p w14:paraId="0F6C1335" w14:textId="4B380FE2" w:rsidR="00F002F4" w:rsidRPr="00F002F4" w:rsidRDefault="00F002F4" w:rsidP="00F002F4">
      <w:pPr>
        <w:spacing w:before="160" w:after="100" w:line="276" w:lineRule="auto"/>
        <w:jc w:val="both"/>
        <w:rPr>
          <w:color w:val="000000" w:themeColor="text1"/>
        </w:rPr>
      </w:pPr>
      <w:r>
        <w:rPr>
          <w:rFonts w:ascii="Arial" w:eastAsia="Arial" w:hAnsi="Arial" w:cs="Arial"/>
          <w:b/>
          <w:bCs/>
          <w:color w:val="000000" w:themeColor="text1"/>
          <w:sz w:val="22"/>
          <w:szCs w:val="22"/>
        </w:rPr>
        <w:t xml:space="preserve">Abstract </w:t>
      </w:r>
      <w:r>
        <w:rPr>
          <w:color w:val="444444"/>
        </w:rPr>
        <w:t>Practitioners in professional sport continue to rely on subjective assessments and simplified physiological models that fail to capture the nonlinear dynamics of athlete performance. Wearable sensors now generate high-frequency, multivariate time-series data during training and competition, yet deployed analytical frameworks rarely exploit their full temporal depth. A validated, sport-agnostic deep-learning framework capable of integrating heterogeneous sensor streams for concurrent performance prediction and injury-risk estimation was absent from the literature.</w:t>
      </w:r>
      <w:r>
        <w:t xml:space="preserve"> </w:t>
      </w:r>
      <w:r>
        <w:rPr>
          <w:color w:val="444444"/>
        </w:rPr>
        <w:t>This study aimed to investigate the predictive relationship between multivariate wearable sensor time-series and next-session athlete performance outcomes across two elite sport disciplines; to develop a multi-task Long Short-Term Memory (LSTM) architecture concurrently predicting performance metrics and acute injury risk; and to evaluate the generalization capacity of the proposed model against Random Forest, Gradient Boosting, and linear regression baselines on a held-out athlete cohort.</w:t>
      </w:r>
      <w:r>
        <w:t xml:space="preserve"> </w:t>
      </w:r>
      <w:r>
        <w:rPr>
          <w:color w:val="444444"/>
        </w:rPr>
        <w:t xml:space="preserve">A prospective longitudinal design was adopted over a 24-week competitive season with 47 elite athletes (track-and-field and football; mean age 23.4 ± 3.1 years). Wearable data were collected at 100 Hz via </w:t>
      </w:r>
      <w:proofErr w:type="spellStart"/>
      <w:r>
        <w:rPr>
          <w:color w:val="444444"/>
        </w:rPr>
        <w:t>STATSports</w:t>
      </w:r>
      <w:proofErr w:type="spellEnd"/>
      <w:r>
        <w:rPr>
          <w:color w:val="444444"/>
        </w:rPr>
        <w:t xml:space="preserve"> APEX Pro (GNSS, triaxial accelerometer, gyroscope) and Polar H10 heart-rate monitors. Eighteen per-session features were assembled into 14-session rolling windows. A two-layer multi-task LSTM was trained on 80% of data using temporal cross-validation, with Bayesian hyperparameter optimisation; benchmarks were evaluated on the same held-out 20% set.</w:t>
      </w:r>
      <w:r>
        <w:t xml:space="preserve"> </w:t>
      </w:r>
      <w:r>
        <w:rPr>
          <w:color w:val="444444"/>
        </w:rPr>
        <w:t>The multi-task LSTM achieved 92.6% injury-risk classification accuracy (AUC-ROC 0.97; 95% CI: 0.94–0.99) and RMSE of 0.294 on performance regression — statistically significant improvements over all baselines (p &lt; 0.001; Cohen’s d &gt; 0.8). Sensitivity for soft-tissue injury detection was 0.89 (specificity 0.93). Acute-to-chronic workload ratio emerged as the most informative feature (importance 0.23 ± 0.04). These results demonstrate that temporal modelling of raw wearable sensor streams substantially outperforms conventional session-aggregate approaches for athlete performance prediction and injury-risk estimation.</w:t>
      </w:r>
    </w:p>
    <w:p w14:paraId="16766EAF" w14:textId="536F0A2F" w:rsidR="00F002F4" w:rsidRPr="00F002F4" w:rsidRDefault="00F002F4" w:rsidP="00F002F4">
      <w:pPr>
        <w:spacing w:after="100"/>
        <w:jc w:val="both"/>
        <w:rPr>
          <w:rFonts w:ascii="Arial" w:eastAsia="Arial" w:hAnsi="Arial" w:cs="Arial"/>
          <w:color w:val="006633"/>
        </w:rPr>
      </w:pPr>
      <w:r w:rsidRPr="00F002F4">
        <w:rPr>
          <w:rFonts w:ascii="Arial" w:eastAsia="Arial" w:hAnsi="Arial" w:cs="Arial"/>
          <w:b/>
          <w:bCs/>
          <w:color w:val="000000" w:themeColor="text1"/>
          <w:sz w:val="22"/>
          <w:szCs w:val="22"/>
        </w:rPr>
        <w:t>Keywords</w:t>
      </w:r>
      <w:r w:rsidRPr="00F002F4">
        <w:rPr>
          <w:rFonts w:ascii="Arial" w:eastAsia="Arial" w:hAnsi="Arial" w:cs="Arial"/>
          <w:b/>
          <w:bCs/>
          <w:color w:val="000000" w:themeColor="text1"/>
        </w:rPr>
        <w:t>:</w:t>
      </w:r>
      <w:r w:rsidRPr="00F002F4">
        <w:rPr>
          <w:rFonts w:ascii="Arial" w:eastAsia="Arial" w:hAnsi="Arial" w:cs="Arial"/>
          <w:color w:val="006633"/>
        </w:rPr>
        <w:t xml:space="preserve"> </w:t>
      </w:r>
      <w:r w:rsidRPr="00F002F4">
        <w:rPr>
          <w:i/>
          <w:iCs/>
          <w:color w:val="444444"/>
        </w:rPr>
        <w:t>predictive analytics; machine learning; athlete performance; sports science; wearable sensors</w:t>
      </w:r>
    </w:p>
    <w:p w14:paraId="01FE5DF0" w14:textId="0F45CCDB" w:rsidR="001F2B6D" w:rsidRPr="00120D86" w:rsidRDefault="00F24CDF" w:rsidP="00120D86">
      <w:pPr>
        <w:spacing w:before="160" w:after="60"/>
        <w:rPr>
          <w:color w:val="000000" w:themeColor="text1"/>
        </w:rPr>
      </w:pPr>
      <w:r w:rsidRPr="00F24CDF">
        <w:rPr>
          <w:rFonts w:ascii="Arial" w:eastAsia="Arial" w:hAnsi="Arial" w:cs="Arial"/>
          <w:b/>
          <w:bCs/>
          <w:color w:val="000000" w:themeColor="text1"/>
          <w:sz w:val="22"/>
          <w:szCs w:val="22"/>
        </w:rPr>
        <w:t>Introduction</w:t>
      </w:r>
    </w:p>
    <w:p w14:paraId="166663C8" w14:textId="7F7D3AA9" w:rsidR="001F2B6D" w:rsidRDefault="00000000" w:rsidP="00120D86">
      <w:pPr>
        <w:spacing w:after="100" w:line="276" w:lineRule="auto"/>
        <w:ind w:firstLine="360"/>
        <w:jc w:val="both"/>
      </w:pPr>
      <w:r>
        <w:rPr>
          <w:color w:val="444444"/>
        </w:rPr>
        <w:t xml:space="preserve">Athlete performance in professional and semi-professional sport is increasingly shaped by data-driven decision-making. Despite significant advances in sports science, practitioners continue to rely on subjective assessments and simplified physiological models that fail to capture the nonlinear dynamics of human athletic performance. This reliance on simplified models introduces substantial </w:t>
      </w:r>
      <w:r w:rsidR="001A69C6">
        <w:rPr>
          <w:color w:val="444444"/>
        </w:rPr>
        <w:t>errors</w:t>
      </w:r>
      <w:r>
        <w:rPr>
          <w:color w:val="444444"/>
        </w:rPr>
        <w:t xml:space="preserve"> into load management, injury-risk prediction, and training </w:t>
      </w:r>
      <w:r w:rsidR="001A69C6">
        <w:rPr>
          <w:color w:val="444444"/>
        </w:rPr>
        <w:t>periodization</w:t>
      </w:r>
      <w:r>
        <w:rPr>
          <w:color w:val="444444"/>
        </w:rPr>
        <w:t xml:space="preserve"> decisions.</w:t>
      </w:r>
    </w:p>
    <w:p w14:paraId="710EADD9" w14:textId="7AB779A3" w:rsidR="001F2B6D" w:rsidRDefault="00000000">
      <w:pPr>
        <w:spacing w:after="100" w:line="276" w:lineRule="auto"/>
        <w:ind w:firstLine="360"/>
        <w:jc w:val="both"/>
      </w:pPr>
      <w:r>
        <w:rPr>
          <w:color w:val="444444"/>
        </w:rPr>
        <w:t xml:space="preserve">Wearable inertial measurement units (IMUs), global navigation satellite systems (GNSS), and </w:t>
      </w:r>
      <w:proofErr w:type="spellStart"/>
      <w:r>
        <w:rPr>
          <w:color w:val="444444"/>
        </w:rPr>
        <w:t>photoplethysmographic</w:t>
      </w:r>
      <w:proofErr w:type="spellEnd"/>
      <w:r>
        <w:rPr>
          <w:color w:val="444444"/>
        </w:rPr>
        <w:t xml:space="preserve"> (PPG) </w:t>
      </w:r>
      <w:proofErr w:type="gramStart"/>
      <w:r>
        <w:rPr>
          <w:color w:val="444444"/>
        </w:rPr>
        <w:t>heart-rate</w:t>
      </w:r>
      <w:proofErr w:type="gramEnd"/>
      <w:r>
        <w:rPr>
          <w:color w:val="444444"/>
        </w:rPr>
        <w:t xml:space="preserve"> monitors now generate high-frequency, multivariate time-series data at scale during training and competition. Yet the analytical frameworks deployed in practice rarely exploit the full temporal depth or cross-sensor correlation structure of these streams. Standard regression and threshold-based approaches fail to </w:t>
      </w:r>
      <w:r w:rsidR="001A69C6">
        <w:rPr>
          <w:color w:val="444444"/>
        </w:rPr>
        <w:t>generalize</w:t>
      </w:r>
      <w:r>
        <w:rPr>
          <w:color w:val="444444"/>
        </w:rPr>
        <w:t xml:space="preserve"> across athletes, sports, or training phases.</w:t>
      </w:r>
    </w:p>
    <w:p w14:paraId="5B304588" w14:textId="77777777" w:rsidR="001F2B6D" w:rsidRDefault="00000000">
      <w:pPr>
        <w:spacing w:after="100" w:line="276" w:lineRule="auto"/>
        <w:ind w:firstLine="360"/>
        <w:jc w:val="both"/>
      </w:pPr>
      <w:r>
        <w:rPr>
          <w:color w:val="444444"/>
        </w:rPr>
        <w:t>This study addresses a critical gap: the absence of a validated, sport-agnostic deep-learning framework capable of integrating heterogeneous wearable sensor data to predict next-session performance output and acute injury risk simultaneously. We propose and evaluate a multi-task Long Short-Term Memory (LSTM) network trained on longitudinal data from elite track-and-field and football athletes, and benchmark it against established machine-learning models. The objective is to demonstrate that sequential modelling of sensor time-series significantly outperforms session-aggregate feature approaches.</w:t>
      </w:r>
    </w:p>
    <w:p w14:paraId="74CD535D" w14:textId="77777777" w:rsidR="00B54DD3" w:rsidRDefault="00B54DD3" w:rsidP="00120D86">
      <w:pPr>
        <w:spacing w:before="160" w:after="60"/>
        <w:rPr>
          <w:rFonts w:ascii="Arial" w:eastAsia="Arial" w:hAnsi="Arial" w:cs="Arial"/>
          <w:b/>
          <w:bCs/>
          <w:color w:val="000000" w:themeColor="text1"/>
          <w:sz w:val="22"/>
          <w:szCs w:val="22"/>
        </w:rPr>
      </w:pPr>
    </w:p>
    <w:p w14:paraId="627BE103" w14:textId="77777777" w:rsidR="00B54DD3" w:rsidRDefault="00B54DD3" w:rsidP="00B54DD3">
      <w:pPr>
        <w:spacing w:after="60"/>
        <w:rPr>
          <w:rFonts w:ascii="Arial" w:eastAsia="Arial" w:hAnsi="Arial" w:cs="Arial"/>
          <w:b/>
          <w:bCs/>
          <w:color w:val="000000" w:themeColor="text1"/>
          <w:sz w:val="22"/>
          <w:szCs w:val="22"/>
        </w:rPr>
      </w:pPr>
    </w:p>
    <w:p w14:paraId="1E00C4B2" w14:textId="530E3108" w:rsidR="001F2B6D" w:rsidRPr="00F24CDF" w:rsidRDefault="00F24CDF" w:rsidP="00B54DD3">
      <w:pPr>
        <w:spacing w:after="60"/>
        <w:rPr>
          <w:color w:val="000000" w:themeColor="text1"/>
        </w:rPr>
      </w:pPr>
      <w:r w:rsidRPr="00F24CDF">
        <w:rPr>
          <w:rFonts w:ascii="Arial" w:eastAsia="Arial" w:hAnsi="Arial" w:cs="Arial"/>
          <w:b/>
          <w:bCs/>
          <w:color w:val="000000" w:themeColor="text1"/>
          <w:sz w:val="22"/>
          <w:szCs w:val="22"/>
        </w:rPr>
        <w:lastRenderedPageBreak/>
        <w:t>Objectives</w:t>
      </w:r>
    </w:p>
    <w:p w14:paraId="2ED39963" w14:textId="77777777" w:rsidR="001F2B6D" w:rsidRDefault="00000000">
      <w:pPr>
        <w:spacing w:before="40" w:after="60"/>
        <w:ind w:left="540" w:hanging="360"/>
      </w:pPr>
      <w:r>
        <w:rPr>
          <w:color w:val="444444"/>
        </w:rPr>
        <w:t>1.</w:t>
      </w:r>
      <w:r>
        <w:rPr>
          <w:color w:val="444444"/>
        </w:rPr>
        <w:tab/>
        <w:t>To investigate the predictive relationship between multivariate wearable sensor time-series and next-session athlete performance outcomes across two elite sport disciplines.</w:t>
      </w:r>
    </w:p>
    <w:p w14:paraId="06B028EF" w14:textId="77777777" w:rsidR="001F2B6D" w:rsidRDefault="00000000">
      <w:pPr>
        <w:spacing w:before="40" w:after="60"/>
        <w:ind w:left="540" w:hanging="360"/>
      </w:pPr>
      <w:r>
        <w:rPr>
          <w:color w:val="444444"/>
        </w:rPr>
        <w:t>2.</w:t>
      </w:r>
      <w:r>
        <w:rPr>
          <w:color w:val="444444"/>
        </w:rPr>
        <w:tab/>
        <w:t>To develop a multi-task LSTM architecture that concurrently predicts performance metrics and acute injury risk from raw inertial, positional, and cardiovascular sensor streams.</w:t>
      </w:r>
    </w:p>
    <w:p w14:paraId="2F1F149E" w14:textId="2268615D" w:rsidR="001F2B6D" w:rsidRDefault="00000000" w:rsidP="00F002F4">
      <w:pPr>
        <w:spacing w:before="40" w:after="100"/>
        <w:ind w:left="547" w:hanging="360"/>
      </w:pPr>
      <w:r>
        <w:rPr>
          <w:color w:val="444444"/>
        </w:rPr>
        <w:t>3.</w:t>
      </w:r>
      <w:r>
        <w:rPr>
          <w:color w:val="444444"/>
        </w:rPr>
        <w:tab/>
        <w:t xml:space="preserve">To evaluate the </w:t>
      </w:r>
      <w:r w:rsidR="001A69C6">
        <w:rPr>
          <w:color w:val="444444"/>
        </w:rPr>
        <w:t>generalization</w:t>
      </w:r>
      <w:r>
        <w:rPr>
          <w:color w:val="444444"/>
        </w:rPr>
        <w:t xml:space="preserve"> capacity and clinical utility of the proposed model against Random Forest, Gradient Boosting, and linear regression baselines on a held-out athlete cohort.</w:t>
      </w:r>
    </w:p>
    <w:p w14:paraId="4044F832" w14:textId="018997DC" w:rsidR="001F2B6D" w:rsidRPr="00F24CDF" w:rsidRDefault="00F24CDF" w:rsidP="00120D86">
      <w:pPr>
        <w:spacing w:before="160" w:after="60"/>
        <w:rPr>
          <w:color w:val="000000" w:themeColor="text1"/>
        </w:rPr>
      </w:pPr>
      <w:r w:rsidRPr="00F24CDF">
        <w:rPr>
          <w:rFonts w:ascii="Arial" w:eastAsia="Arial" w:hAnsi="Arial" w:cs="Arial"/>
          <w:b/>
          <w:bCs/>
          <w:color w:val="000000" w:themeColor="text1"/>
          <w:sz w:val="22"/>
          <w:szCs w:val="22"/>
        </w:rPr>
        <w:t>Methodology</w:t>
      </w:r>
    </w:p>
    <w:p w14:paraId="5E7DB685" w14:textId="77777777" w:rsidR="001F2B6D" w:rsidRDefault="00000000">
      <w:pPr>
        <w:spacing w:after="100" w:line="276" w:lineRule="auto"/>
        <w:ind w:firstLine="360"/>
        <w:jc w:val="both"/>
      </w:pPr>
      <w:r>
        <w:rPr>
          <w:color w:val="444444"/>
        </w:rPr>
        <w:t xml:space="preserve">A prospective longitudinal study design was adopted over a 24-week competitive season. Participants comprised 47 elite athletes (26 track-and-field, 21 </w:t>
      </w:r>
      <w:proofErr w:type="gramStart"/>
      <w:r>
        <w:rPr>
          <w:color w:val="444444"/>
        </w:rPr>
        <w:t>football</w:t>
      </w:r>
      <w:proofErr w:type="gramEnd"/>
      <w:r>
        <w:rPr>
          <w:color w:val="444444"/>
        </w:rPr>
        <w:t xml:space="preserve">; mean age 23.4 ± 3.1 years; 31 </w:t>
      </w:r>
      <w:proofErr w:type="gramStart"/>
      <w:r>
        <w:rPr>
          <w:color w:val="444444"/>
        </w:rPr>
        <w:t>male</w:t>
      </w:r>
      <w:proofErr w:type="gramEnd"/>
      <w:r>
        <w:rPr>
          <w:color w:val="444444"/>
        </w:rPr>
        <w:t>, 16 female) recruited from two UAE national federations. Institutional ethical clearance was obtained (UAEU-REC/2025/147), and all participants provided written informed consent.</w:t>
      </w:r>
    </w:p>
    <w:p w14:paraId="17CFE6E8" w14:textId="77777777" w:rsidR="001F2B6D" w:rsidRDefault="00000000">
      <w:pPr>
        <w:spacing w:after="100" w:line="276" w:lineRule="auto"/>
        <w:ind w:firstLine="360"/>
        <w:jc w:val="both"/>
      </w:pPr>
      <w:r>
        <w:rPr>
          <w:color w:val="444444"/>
        </w:rPr>
        <w:t xml:space="preserve">Wearable data were collected at 100 Hz using </w:t>
      </w:r>
      <w:proofErr w:type="spellStart"/>
      <w:r>
        <w:rPr>
          <w:color w:val="444444"/>
        </w:rPr>
        <w:t>STATSports</w:t>
      </w:r>
      <w:proofErr w:type="spellEnd"/>
      <w:r>
        <w:rPr>
          <w:color w:val="444444"/>
        </w:rPr>
        <w:t xml:space="preserve"> APEX Pro units (10 Hz GNSS, triaxial accelerometer, gyroscope, and magnetometer) supplemented by Polar H10 chest-strap monitors sampling cardiac R-R intervals at 1 ms resolution. Per-session features extracted included total distance, high-speed running distance (&gt;5.5 m/s), </w:t>
      </w:r>
      <w:proofErr w:type="spellStart"/>
      <w:r>
        <w:rPr>
          <w:color w:val="444444"/>
        </w:rPr>
        <w:t>PlayerLoad</w:t>
      </w:r>
      <w:proofErr w:type="spellEnd"/>
      <w:r>
        <w:rPr>
          <w:color w:val="444444"/>
        </w:rPr>
        <w:t>™, acute-to-chronic workload ratio (ACWR), heart-rate variability (RMSSD), and maximal acceleration events. These 18-dimensional feature vectors were assembled into rolling 14-session windows to form input sequences for the temporal models.</w:t>
      </w:r>
    </w:p>
    <w:p w14:paraId="1DDA1CEA" w14:textId="77777777" w:rsidR="001F2B6D" w:rsidRDefault="00000000">
      <w:pPr>
        <w:spacing w:after="100" w:line="276" w:lineRule="auto"/>
        <w:ind w:firstLine="360"/>
        <w:jc w:val="both"/>
      </w:pPr>
      <w:r>
        <w:rPr>
          <w:color w:val="444444"/>
        </w:rPr>
        <w:t xml:space="preserve">The proposed Multi-Task LSTM comprised two stacked LSTM layers (128 and 64 units, dropout 0.3), bifurcating into a regression head for performance prediction (sprint time, vertical jump height) and a binary classification head for injury risk (&gt;0 time-loss events within 7 days). Training used the Adam </w:t>
      </w:r>
      <w:proofErr w:type="spellStart"/>
      <w:r>
        <w:rPr>
          <w:color w:val="444444"/>
        </w:rPr>
        <w:t>optimiser</w:t>
      </w:r>
      <w:proofErr w:type="spellEnd"/>
      <w:r>
        <w:rPr>
          <w:color w:val="444444"/>
        </w:rPr>
        <w:t xml:space="preserve"> (</w:t>
      </w:r>
      <w:proofErr w:type="spellStart"/>
      <w:r>
        <w:rPr>
          <w:color w:val="444444"/>
        </w:rPr>
        <w:t>lr</w:t>
      </w:r>
      <w:proofErr w:type="spellEnd"/>
      <w:r>
        <w:rPr>
          <w:color w:val="444444"/>
        </w:rPr>
        <w:t xml:space="preserve"> = 1 × 10⁻³, batch size 32) on 80% of the data, with temporal cross-validation preserving chronological order. Hyperparameters were selected via Bayesian optimisation. Benchmarks — Random Forest, Gradient Boosting, and Linear Regression — were fitted on the same session-aggregate feature set. Evaluation metrics were accuracy, RMSE, and AUC-ROC on the 20% held-out set.</w:t>
      </w:r>
    </w:p>
    <w:p w14:paraId="6CFF1C68" w14:textId="34B7674E" w:rsidR="001F2B6D" w:rsidRPr="00F24CDF" w:rsidRDefault="00F24CDF" w:rsidP="00120D86">
      <w:pPr>
        <w:spacing w:before="160" w:after="60"/>
        <w:rPr>
          <w:color w:val="000000" w:themeColor="text1"/>
        </w:rPr>
      </w:pPr>
      <w:r w:rsidRPr="00F24CDF">
        <w:rPr>
          <w:rFonts w:ascii="Arial" w:eastAsia="Arial" w:hAnsi="Arial" w:cs="Arial"/>
          <w:b/>
          <w:bCs/>
          <w:color w:val="000000" w:themeColor="text1"/>
          <w:sz w:val="22"/>
          <w:szCs w:val="22"/>
        </w:rPr>
        <w:t>Initial Findings</w:t>
      </w:r>
    </w:p>
    <w:p w14:paraId="0108052E" w14:textId="5C0D86D6" w:rsidR="001F2B6D" w:rsidRDefault="00000000">
      <w:pPr>
        <w:spacing w:after="100" w:line="276" w:lineRule="auto"/>
        <w:ind w:firstLine="360"/>
        <w:jc w:val="both"/>
      </w:pPr>
      <w:r>
        <w:rPr>
          <w:color w:val="444444"/>
        </w:rPr>
        <w:t xml:space="preserve">The proposed LSTM model achieved 92.6% classification accuracy for injury-risk prediction on the held-out cohort, with an AUC-ROC of 0.97 (95% CI: 0.94–0.99) and RMSE of 0.294 on the performance regression task. These results represent statistically significant improvements over all baseline models (p &lt; 0.001; Cohen's d &gt; 0.8). Table 1 </w:t>
      </w:r>
      <w:r w:rsidR="00A43AAD">
        <w:rPr>
          <w:color w:val="444444"/>
        </w:rPr>
        <w:t>summarizes</w:t>
      </w:r>
      <w:r>
        <w:rPr>
          <w:color w:val="444444"/>
        </w:rPr>
        <w:t xml:space="preserve"> comparative model performance.</w:t>
      </w:r>
    </w:p>
    <w:p w14:paraId="2BBB6392" w14:textId="77777777" w:rsidR="001F2B6D" w:rsidRDefault="001F2B6D">
      <w:pPr>
        <w:spacing w:after="40"/>
      </w:pPr>
    </w:p>
    <w:p w14:paraId="4EE791CF" w14:textId="77777777" w:rsidR="001F2B6D" w:rsidRDefault="00000000">
      <w:pPr>
        <w:spacing w:after="60"/>
        <w:jc w:val="center"/>
      </w:pPr>
      <w:r>
        <w:rPr>
          <w:b/>
          <w:bCs/>
          <w:color w:val="003D1F"/>
          <w:sz w:val="18"/>
          <w:szCs w:val="18"/>
        </w:rPr>
        <w:t xml:space="preserve">Table 1. </w:t>
      </w:r>
      <w:r>
        <w:rPr>
          <w:i/>
          <w:iCs/>
          <w:color w:val="444444"/>
          <w:sz w:val="18"/>
          <w:szCs w:val="18"/>
        </w:rPr>
        <w:t>Comparative performance of predictive models on the held-out athlete cohort.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000"/>
        <w:gridCol w:w="2000"/>
        <w:gridCol w:w="2772"/>
      </w:tblGrid>
      <w:tr w:rsidR="001F2B6D" w14:paraId="453DFD63" w14:textId="77777777">
        <w:trPr>
          <w:tblHeader/>
        </w:trPr>
        <w:tc>
          <w:tcPr>
            <w:tcW w:w="2300" w:type="dxa"/>
            <w:tcBorders>
              <w:top w:val="single" w:sz="4" w:space="0" w:color="CCCCCC"/>
              <w:left w:val="single" w:sz="4" w:space="0" w:color="CCCCCC"/>
              <w:bottom w:val="single" w:sz="4" w:space="0" w:color="CCCCCC"/>
              <w:right w:val="single" w:sz="4" w:space="0" w:color="CCCCCC"/>
            </w:tcBorders>
            <w:shd w:val="clear" w:color="auto" w:fill="006633"/>
            <w:tcMar>
              <w:top w:w="70" w:type="dxa"/>
              <w:left w:w="100" w:type="dxa"/>
              <w:bottom w:w="70" w:type="dxa"/>
              <w:right w:w="100" w:type="dxa"/>
            </w:tcMar>
          </w:tcPr>
          <w:p w14:paraId="24D19944" w14:textId="77777777" w:rsidR="001F2B6D" w:rsidRDefault="00000000">
            <w:r>
              <w:rPr>
                <w:rFonts w:ascii="Arial" w:eastAsia="Arial" w:hAnsi="Arial" w:cs="Arial"/>
                <w:b/>
                <w:bCs/>
                <w:color w:val="FFFFFF"/>
                <w:sz w:val="18"/>
                <w:szCs w:val="18"/>
              </w:rPr>
              <w:t>Model</w:t>
            </w:r>
          </w:p>
        </w:tc>
        <w:tc>
          <w:tcPr>
            <w:tcW w:w="2000" w:type="dxa"/>
            <w:tcBorders>
              <w:top w:val="single" w:sz="4" w:space="0" w:color="CCCCCC"/>
              <w:left w:val="single" w:sz="4" w:space="0" w:color="CCCCCC"/>
              <w:bottom w:val="single" w:sz="4" w:space="0" w:color="CCCCCC"/>
              <w:right w:val="single" w:sz="4" w:space="0" w:color="CCCCCC"/>
            </w:tcBorders>
            <w:shd w:val="clear" w:color="auto" w:fill="006633"/>
            <w:tcMar>
              <w:top w:w="70" w:type="dxa"/>
              <w:left w:w="100" w:type="dxa"/>
              <w:bottom w:w="70" w:type="dxa"/>
              <w:right w:w="100" w:type="dxa"/>
            </w:tcMar>
          </w:tcPr>
          <w:p w14:paraId="17F18672" w14:textId="77777777" w:rsidR="001F2B6D" w:rsidRDefault="00000000">
            <w:pPr>
              <w:jc w:val="center"/>
            </w:pPr>
            <w:r>
              <w:rPr>
                <w:rFonts w:ascii="Arial" w:eastAsia="Arial" w:hAnsi="Arial" w:cs="Arial"/>
                <w:b/>
                <w:bCs/>
                <w:color w:val="FFFFFF"/>
                <w:sz w:val="18"/>
                <w:szCs w:val="18"/>
              </w:rPr>
              <w:t>Accuracy (%)</w:t>
            </w:r>
          </w:p>
        </w:tc>
        <w:tc>
          <w:tcPr>
            <w:tcW w:w="2000" w:type="dxa"/>
            <w:tcBorders>
              <w:top w:val="single" w:sz="4" w:space="0" w:color="CCCCCC"/>
              <w:left w:val="single" w:sz="4" w:space="0" w:color="CCCCCC"/>
              <w:bottom w:val="single" w:sz="4" w:space="0" w:color="CCCCCC"/>
              <w:right w:val="single" w:sz="4" w:space="0" w:color="CCCCCC"/>
            </w:tcBorders>
            <w:shd w:val="clear" w:color="auto" w:fill="006633"/>
            <w:tcMar>
              <w:top w:w="70" w:type="dxa"/>
              <w:left w:w="100" w:type="dxa"/>
              <w:bottom w:w="70" w:type="dxa"/>
              <w:right w:w="100" w:type="dxa"/>
            </w:tcMar>
          </w:tcPr>
          <w:p w14:paraId="27BF747E" w14:textId="77777777" w:rsidR="001F2B6D" w:rsidRDefault="00000000">
            <w:pPr>
              <w:jc w:val="center"/>
            </w:pPr>
            <w:r>
              <w:rPr>
                <w:rFonts w:ascii="Arial" w:eastAsia="Arial" w:hAnsi="Arial" w:cs="Arial"/>
                <w:b/>
                <w:bCs/>
                <w:color w:val="FFFFFF"/>
                <w:sz w:val="18"/>
                <w:szCs w:val="18"/>
              </w:rPr>
              <w:t>RMSE</w:t>
            </w:r>
          </w:p>
        </w:tc>
        <w:tc>
          <w:tcPr>
            <w:tcW w:w="2772" w:type="dxa"/>
            <w:tcBorders>
              <w:top w:val="single" w:sz="4" w:space="0" w:color="CCCCCC"/>
              <w:left w:val="single" w:sz="4" w:space="0" w:color="CCCCCC"/>
              <w:bottom w:val="single" w:sz="4" w:space="0" w:color="CCCCCC"/>
              <w:right w:val="single" w:sz="4" w:space="0" w:color="CCCCCC"/>
            </w:tcBorders>
            <w:shd w:val="clear" w:color="auto" w:fill="006633"/>
            <w:tcMar>
              <w:top w:w="70" w:type="dxa"/>
              <w:left w:w="100" w:type="dxa"/>
              <w:bottom w:w="70" w:type="dxa"/>
              <w:right w:w="100" w:type="dxa"/>
            </w:tcMar>
          </w:tcPr>
          <w:p w14:paraId="76E4DEA3" w14:textId="77777777" w:rsidR="001F2B6D" w:rsidRDefault="00000000">
            <w:pPr>
              <w:jc w:val="center"/>
            </w:pPr>
            <w:r>
              <w:rPr>
                <w:rFonts w:ascii="Arial" w:eastAsia="Arial" w:hAnsi="Arial" w:cs="Arial"/>
                <w:b/>
                <w:bCs/>
                <w:color w:val="FFFFFF"/>
                <w:sz w:val="18"/>
                <w:szCs w:val="18"/>
              </w:rPr>
              <w:t>AUC-ROC</w:t>
            </w:r>
          </w:p>
        </w:tc>
      </w:tr>
      <w:tr w:rsidR="001F2B6D" w14:paraId="4D0363CF" w14:textId="77777777">
        <w:tc>
          <w:tcPr>
            <w:tcW w:w="2300" w:type="dxa"/>
            <w:tcBorders>
              <w:top w:val="single" w:sz="4" w:space="0" w:color="CCCCCC"/>
              <w:left w:val="single" w:sz="4" w:space="0" w:color="CCCCCC"/>
              <w:bottom w:val="single" w:sz="4" w:space="0" w:color="CCCCCC"/>
              <w:right w:val="single" w:sz="4" w:space="0" w:color="CCCCCC"/>
            </w:tcBorders>
            <w:shd w:val="clear" w:color="auto" w:fill="FAFAFA"/>
            <w:tcMar>
              <w:top w:w="55" w:type="dxa"/>
              <w:left w:w="100" w:type="dxa"/>
              <w:bottom w:w="55" w:type="dxa"/>
              <w:right w:w="100" w:type="dxa"/>
            </w:tcMar>
          </w:tcPr>
          <w:p w14:paraId="762EA7A3" w14:textId="77777777" w:rsidR="001F2B6D" w:rsidRDefault="00000000">
            <w:r>
              <w:rPr>
                <w:color w:val="444444"/>
                <w:sz w:val="18"/>
                <w:szCs w:val="18"/>
              </w:rPr>
              <w:t>Random Forest</w:t>
            </w:r>
          </w:p>
        </w:tc>
        <w:tc>
          <w:tcPr>
            <w:tcW w:w="2000" w:type="dxa"/>
            <w:tcBorders>
              <w:top w:val="single" w:sz="4" w:space="0" w:color="CCCCCC"/>
              <w:left w:val="single" w:sz="4" w:space="0" w:color="CCCCCC"/>
              <w:bottom w:val="single" w:sz="4" w:space="0" w:color="CCCCCC"/>
              <w:right w:val="single" w:sz="4" w:space="0" w:color="CCCCCC"/>
            </w:tcBorders>
            <w:shd w:val="clear" w:color="auto" w:fill="FAFAFA"/>
            <w:tcMar>
              <w:top w:w="55" w:type="dxa"/>
              <w:left w:w="100" w:type="dxa"/>
              <w:bottom w:w="55" w:type="dxa"/>
              <w:right w:w="100" w:type="dxa"/>
            </w:tcMar>
          </w:tcPr>
          <w:p w14:paraId="76E20EE6" w14:textId="77777777" w:rsidR="001F2B6D" w:rsidRDefault="00000000">
            <w:pPr>
              <w:jc w:val="center"/>
            </w:pPr>
            <w:r>
              <w:rPr>
                <w:color w:val="444444"/>
                <w:sz w:val="18"/>
                <w:szCs w:val="18"/>
              </w:rPr>
              <w:t>87.3</w:t>
            </w:r>
          </w:p>
        </w:tc>
        <w:tc>
          <w:tcPr>
            <w:tcW w:w="2000" w:type="dxa"/>
            <w:tcBorders>
              <w:top w:val="single" w:sz="4" w:space="0" w:color="CCCCCC"/>
              <w:left w:val="single" w:sz="4" w:space="0" w:color="CCCCCC"/>
              <w:bottom w:val="single" w:sz="4" w:space="0" w:color="CCCCCC"/>
              <w:right w:val="single" w:sz="4" w:space="0" w:color="CCCCCC"/>
            </w:tcBorders>
            <w:shd w:val="clear" w:color="auto" w:fill="FAFAFA"/>
            <w:tcMar>
              <w:top w:w="55" w:type="dxa"/>
              <w:left w:w="100" w:type="dxa"/>
              <w:bottom w:w="55" w:type="dxa"/>
              <w:right w:w="100" w:type="dxa"/>
            </w:tcMar>
          </w:tcPr>
          <w:p w14:paraId="596282F7" w14:textId="77777777" w:rsidR="001F2B6D" w:rsidRDefault="00000000">
            <w:pPr>
              <w:jc w:val="center"/>
            </w:pPr>
            <w:r>
              <w:rPr>
                <w:color w:val="444444"/>
                <w:sz w:val="18"/>
                <w:szCs w:val="18"/>
              </w:rPr>
              <w:t>0.412</w:t>
            </w:r>
          </w:p>
        </w:tc>
        <w:tc>
          <w:tcPr>
            <w:tcW w:w="2772" w:type="dxa"/>
            <w:tcBorders>
              <w:top w:val="single" w:sz="4" w:space="0" w:color="CCCCCC"/>
              <w:left w:val="single" w:sz="4" w:space="0" w:color="CCCCCC"/>
              <w:bottom w:val="single" w:sz="4" w:space="0" w:color="CCCCCC"/>
              <w:right w:val="single" w:sz="4" w:space="0" w:color="CCCCCC"/>
            </w:tcBorders>
            <w:shd w:val="clear" w:color="auto" w:fill="FAFAFA"/>
            <w:tcMar>
              <w:top w:w="55" w:type="dxa"/>
              <w:left w:w="100" w:type="dxa"/>
              <w:bottom w:w="55" w:type="dxa"/>
              <w:right w:w="100" w:type="dxa"/>
            </w:tcMar>
          </w:tcPr>
          <w:p w14:paraId="33472FD9" w14:textId="77777777" w:rsidR="001F2B6D" w:rsidRDefault="00000000">
            <w:pPr>
              <w:jc w:val="center"/>
            </w:pPr>
            <w:r>
              <w:rPr>
                <w:color w:val="444444"/>
                <w:sz w:val="18"/>
                <w:szCs w:val="18"/>
              </w:rPr>
              <w:t>0.91</w:t>
            </w:r>
          </w:p>
        </w:tc>
      </w:tr>
      <w:tr w:rsidR="001F2B6D" w14:paraId="4E08278C" w14:textId="77777777">
        <w:tc>
          <w:tcPr>
            <w:tcW w:w="2300" w:type="dxa"/>
            <w:tcBorders>
              <w:top w:val="single" w:sz="4" w:space="0" w:color="CCCCCC"/>
              <w:left w:val="single" w:sz="4" w:space="0" w:color="CCCCCC"/>
              <w:bottom w:val="single" w:sz="4" w:space="0" w:color="CCCCCC"/>
              <w:right w:val="single" w:sz="4" w:space="0" w:color="CCCCCC"/>
            </w:tcBorders>
            <w:shd w:val="clear" w:color="auto" w:fill="FFFFFF"/>
            <w:tcMar>
              <w:top w:w="55" w:type="dxa"/>
              <w:left w:w="100" w:type="dxa"/>
              <w:bottom w:w="55" w:type="dxa"/>
              <w:right w:w="100" w:type="dxa"/>
            </w:tcMar>
          </w:tcPr>
          <w:p w14:paraId="1618DD16" w14:textId="77777777" w:rsidR="001F2B6D" w:rsidRDefault="00000000">
            <w:r>
              <w:rPr>
                <w:color w:val="444444"/>
                <w:sz w:val="18"/>
                <w:szCs w:val="18"/>
              </w:rPr>
              <w:t>Gradient Boosting</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55" w:type="dxa"/>
              <w:left w:w="100" w:type="dxa"/>
              <w:bottom w:w="55" w:type="dxa"/>
              <w:right w:w="100" w:type="dxa"/>
            </w:tcMar>
          </w:tcPr>
          <w:p w14:paraId="52E64326" w14:textId="77777777" w:rsidR="001F2B6D" w:rsidRDefault="00000000">
            <w:pPr>
              <w:jc w:val="center"/>
            </w:pPr>
            <w:r>
              <w:rPr>
                <w:color w:val="444444"/>
                <w:sz w:val="18"/>
                <w:szCs w:val="18"/>
              </w:rPr>
              <w:t>89.1</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55" w:type="dxa"/>
              <w:left w:w="100" w:type="dxa"/>
              <w:bottom w:w="55" w:type="dxa"/>
              <w:right w:w="100" w:type="dxa"/>
            </w:tcMar>
          </w:tcPr>
          <w:p w14:paraId="66AADE72" w14:textId="77777777" w:rsidR="001F2B6D" w:rsidRDefault="00000000">
            <w:pPr>
              <w:jc w:val="center"/>
            </w:pPr>
            <w:r>
              <w:rPr>
                <w:color w:val="444444"/>
                <w:sz w:val="18"/>
                <w:szCs w:val="18"/>
              </w:rPr>
              <w:t>0.381</w:t>
            </w:r>
          </w:p>
        </w:tc>
        <w:tc>
          <w:tcPr>
            <w:tcW w:w="2772" w:type="dxa"/>
            <w:tcBorders>
              <w:top w:val="single" w:sz="4" w:space="0" w:color="CCCCCC"/>
              <w:left w:val="single" w:sz="4" w:space="0" w:color="CCCCCC"/>
              <w:bottom w:val="single" w:sz="4" w:space="0" w:color="CCCCCC"/>
              <w:right w:val="single" w:sz="4" w:space="0" w:color="CCCCCC"/>
            </w:tcBorders>
            <w:shd w:val="clear" w:color="auto" w:fill="FFFFFF"/>
            <w:tcMar>
              <w:top w:w="55" w:type="dxa"/>
              <w:left w:w="100" w:type="dxa"/>
              <w:bottom w:w="55" w:type="dxa"/>
              <w:right w:w="100" w:type="dxa"/>
            </w:tcMar>
          </w:tcPr>
          <w:p w14:paraId="4424ACDB" w14:textId="77777777" w:rsidR="001F2B6D" w:rsidRDefault="00000000">
            <w:pPr>
              <w:jc w:val="center"/>
            </w:pPr>
            <w:r>
              <w:rPr>
                <w:color w:val="444444"/>
                <w:sz w:val="18"/>
                <w:szCs w:val="18"/>
              </w:rPr>
              <w:t>0.93</w:t>
            </w:r>
          </w:p>
        </w:tc>
      </w:tr>
      <w:tr w:rsidR="001F2B6D" w14:paraId="55F7DC40" w14:textId="77777777">
        <w:tc>
          <w:tcPr>
            <w:tcW w:w="2300" w:type="dxa"/>
            <w:tcBorders>
              <w:top w:val="single" w:sz="4" w:space="0" w:color="CCCCCC"/>
              <w:left w:val="single" w:sz="4" w:space="0" w:color="CCCCCC"/>
              <w:bottom w:val="single" w:sz="4" w:space="0" w:color="CCCCCC"/>
              <w:right w:val="single" w:sz="4" w:space="0" w:color="CCCCCC"/>
            </w:tcBorders>
            <w:shd w:val="clear" w:color="auto" w:fill="FAFAFA"/>
            <w:tcMar>
              <w:top w:w="55" w:type="dxa"/>
              <w:left w:w="100" w:type="dxa"/>
              <w:bottom w:w="55" w:type="dxa"/>
              <w:right w:w="100" w:type="dxa"/>
            </w:tcMar>
          </w:tcPr>
          <w:p w14:paraId="29E20578" w14:textId="77777777" w:rsidR="001F2B6D" w:rsidRDefault="00000000">
            <w:r>
              <w:rPr>
                <w:b/>
                <w:bCs/>
                <w:color w:val="444444"/>
                <w:sz w:val="18"/>
                <w:szCs w:val="18"/>
              </w:rPr>
              <w:t>LSTM (proposed)</w:t>
            </w:r>
          </w:p>
        </w:tc>
        <w:tc>
          <w:tcPr>
            <w:tcW w:w="2000" w:type="dxa"/>
            <w:tcBorders>
              <w:top w:val="single" w:sz="4" w:space="0" w:color="CCCCCC"/>
              <w:left w:val="single" w:sz="4" w:space="0" w:color="CCCCCC"/>
              <w:bottom w:val="single" w:sz="4" w:space="0" w:color="CCCCCC"/>
              <w:right w:val="single" w:sz="4" w:space="0" w:color="CCCCCC"/>
            </w:tcBorders>
            <w:shd w:val="clear" w:color="auto" w:fill="FAFAFA"/>
            <w:tcMar>
              <w:top w:w="55" w:type="dxa"/>
              <w:left w:w="100" w:type="dxa"/>
              <w:bottom w:w="55" w:type="dxa"/>
              <w:right w:w="100" w:type="dxa"/>
            </w:tcMar>
          </w:tcPr>
          <w:p w14:paraId="5EF89DBD" w14:textId="77777777" w:rsidR="001F2B6D" w:rsidRDefault="00000000">
            <w:pPr>
              <w:jc w:val="center"/>
            </w:pPr>
            <w:r>
              <w:rPr>
                <w:b/>
                <w:bCs/>
                <w:color w:val="006633"/>
                <w:sz w:val="18"/>
                <w:szCs w:val="18"/>
              </w:rPr>
              <w:t>92.6</w:t>
            </w:r>
          </w:p>
        </w:tc>
        <w:tc>
          <w:tcPr>
            <w:tcW w:w="2000" w:type="dxa"/>
            <w:tcBorders>
              <w:top w:val="single" w:sz="4" w:space="0" w:color="CCCCCC"/>
              <w:left w:val="single" w:sz="4" w:space="0" w:color="CCCCCC"/>
              <w:bottom w:val="single" w:sz="4" w:space="0" w:color="CCCCCC"/>
              <w:right w:val="single" w:sz="4" w:space="0" w:color="CCCCCC"/>
            </w:tcBorders>
            <w:shd w:val="clear" w:color="auto" w:fill="FAFAFA"/>
            <w:tcMar>
              <w:top w:w="55" w:type="dxa"/>
              <w:left w:w="100" w:type="dxa"/>
              <w:bottom w:w="55" w:type="dxa"/>
              <w:right w:w="100" w:type="dxa"/>
            </w:tcMar>
          </w:tcPr>
          <w:p w14:paraId="02C85100" w14:textId="77777777" w:rsidR="001F2B6D" w:rsidRDefault="00000000">
            <w:pPr>
              <w:jc w:val="center"/>
            </w:pPr>
            <w:r>
              <w:rPr>
                <w:b/>
                <w:bCs/>
                <w:color w:val="006633"/>
                <w:sz w:val="18"/>
                <w:szCs w:val="18"/>
              </w:rPr>
              <w:t>0.294</w:t>
            </w:r>
          </w:p>
        </w:tc>
        <w:tc>
          <w:tcPr>
            <w:tcW w:w="2772" w:type="dxa"/>
            <w:tcBorders>
              <w:top w:val="single" w:sz="4" w:space="0" w:color="CCCCCC"/>
              <w:left w:val="single" w:sz="4" w:space="0" w:color="CCCCCC"/>
              <w:bottom w:val="single" w:sz="4" w:space="0" w:color="CCCCCC"/>
              <w:right w:val="single" w:sz="4" w:space="0" w:color="CCCCCC"/>
            </w:tcBorders>
            <w:shd w:val="clear" w:color="auto" w:fill="FAFAFA"/>
            <w:tcMar>
              <w:top w:w="55" w:type="dxa"/>
              <w:left w:w="100" w:type="dxa"/>
              <w:bottom w:w="55" w:type="dxa"/>
              <w:right w:w="100" w:type="dxa"/>
            </w:tcMar>
          </w:tcPr>
          <w:p w14:paraId="59D831B5" w14:textId="77777777" w:rsidR="001F2B6D" w:rsidRDefault="00000000">
            <w:pPr>
              <w:jc w:val="center"/>
            </w:pPr>
            <w:r>
              <w:rPr>
                <w:b/>
                <w:bCs/>
                <w:color w:val="006633"/>
                <w:sz w:val="18"/>
                <w:szCs w:val="18"/>
              </w:rPr>
              <w:t>0.97</w:t>
            </w:r>
          </w:p>
        </w:tc>
      </w:tr>
      <w:tr w:rsidR="001F2B6D" w14:paraId="2B3A3DF8" w14:textId="77777777">
        <w:tc>
          <w:tcPr>
            <w:tcW w:w="2300" w:type="dxa"/>
            <w:tcBorders>
              <w:top w:val="single" w:sz="4" w:space="0" w:color="CCCCCC"/>
              <w:left w:val="single" w:sz="4" w:space="0" w:color="CCCCCC"/>
              <w:bottom w:val="single" w:sz="4" w:space="0" w:color="CCCCCC"/>
              <w:right w:val="single" w:sz="4" w:space="0" w:color="CCCCCC"/>
            </w:tcBorders>
            <w:shd w:val="clear" w:color="auto" w:fill="FFFFFF"/>
            <w:tcMar>
              <w:top w:w="55" w:type="dxa"/>
              <w:left w:w="100" w:type="dxa"/>
              <w:bottom w:w="55" w:type="dxa"/>
              <w:right w:w="100" w:type="dxa"/>
            </w:tcMar>
          </w:tcPr>
          <w:p w14:paraId="20C95885" w14:textId="77777777" w:rsidR="001F2B6D" w:rsidRDefault="00000000">
            <w:r>
              <w:rPr>
                <w:color w:val="444444"/>
                <w:sz w:val="18"/>
                <w:szCs w:val="18"/>
              </w:rPr>
              <w:t>Baseline (Linear Reg)</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55" w:type="dxa"/>
              <w:left w:w="100" w:type="dxa"/>
              <w:bottom w:w="55" w:type="dxa"/>
              <w:right w:w="100" w:type="dxa"/>
            </w:tcMar>
          </w:tcPr>
          <w:p w14:paraId="6755B4EA" w14:textId="77777777" w:rsidR="001F2B6D" w:rsidRDefault="00000000">
            <w:pPr>
              <w:jc w:val="center"/>
            </w:pPr>
            <w:r>
              <w:rPr>
                <w:color w:val="444444"/>
                <w:sz w:val="18"/>
                <w:szCs w:val="18"/>
              </w:rPr>
              <w:t>74.8</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55" w:type="dxa"/>
              <w:left w:w="100" w:type="dxa"/>
              <w:bottom w:w="55" w:type="dxa"/>
              <w:right w:w="100" w:type="dxa"/>
            </w:tcMar>
          </w:tcPr>
          <w:p w14:paraId="5E0A639A" w14:textId="77777777" w:rsidR="001F2B6D" w:rsidRDefault="00000000">
            <w:pPr>
              <w:jc w:val="center"/>
            </w:pPr>
            <w:r>
              <w:rPr>
                <w:color w:val="444444"/>
                <w:sz w:val="18"/>
                <w:szCs w:val="18"/>
              </w:rPr>
              <w:t>0.631</w:t>
            </w:r>
          </w:p>
        </w:tc>
        <w:tc>
          <w:tcPr>
            <w:tcW w:w="2772" w:type="dxa"/>
            <w:tcBorders>
              <w:top w:val="single" w:sz="4" w:space="0" w:color="CCCCCC"/>
              <w:left w:val="single" w:sz="4" w:space="0" w:color="CCCCCC"/>
              <w:bottom w:val="single" w:sz="4" w:space="0" w:color="CCCCCC"/>
              <w:right w:val="single" w:sz="4" w:space="0" w:color="CCCCCC"/>
            </w:tcBorders>
            <w:shd w:val="clear" w:color="auto" w:fill="FFFFFF"/>
            <w:tcMar>
              <w:top w:w="55" w:type="dxa"/>
              <w:left w:w="100" w:type="dxa"/>
              <w:bottom w:w="55" w:type="dxa"/>
              <w:right w:w="100" w:type="dxa"/>
            </w:tcMar>
          </w:tcPr>
          <w:p w14:paraId="4F9BE8AE" w14:textId="77777777" w:rsidR="001F2B6D" w:rsidRDefault="00000000">
            <w:pPr>
              <w:jc w:val="center"/>
            </w:pPr>
            <w:r>
              <w:rPr>
                <w:color w:val="444444"/>
                <w:sz w:val="18"/>
                <w:szCs w:val="18"/>
              </w:rPr>
              <w:t>0.79</w:t>
            </w:r>
          </w:p>
        </w:tc>
      </w:tr>
    </w:tbl>
    <w:p w14:paraId="74681600" w14:textId="77777777" w:rsidR="001F2B6D" w:rsidRDefault="001F2B6D">
      <w:pPr>
        <w:spacing w:after="80"/>
      </w:pPr>
    </w:p>
    <w:p w14:paraId="58210612" w14:textId="77777777" w:rsidR="001F2B6D" w:rsidRDefault="00000000">
      <w:pPr>
        <w:spacing w:after="100" w:line="276" w:lineRule="auto"/>
        <w:ind w:firstLine="360"/>
        <w:jc w:val="both"/>
      </w:pPr>
      <w:r>
        <w:rPr>
          <w:color w:val="444444"/>
        </w:rPr>
        <w:t xml:space="preserve">ACWR emerged as the most informative session-aggregate feature (feature importance: 0.23 ± 0.04), while RMSSD and </w:t>
      </w:r>
      <w:proofErr w:type="spellStart"/>
      <w:r>
        <w:rPr>
          <w:color w:val="444444"/>
        </w:rPr>
        <w:t>PlayerLoad</w:t>
      </w:r>
      <w:proofErr w:type="spellEnd"/>
      <w:r>
        <w:rPr>
          <w:color w:val="444444"/>
        </w:rPr>
        <w:t xml:space="preserve"> contributed 0.18 ± 0.03 and 0.16 ± 0.03 respectively. LSTM attention weights revealed that the model weighted the 3–7 sessions immediately preceding the prediction window most heavily, consistent with established physiological adaptation windows.</w:t>
      </w:r>
    </w:p>
    <w:p w14:paraId="05F2B4FD" w14:textId="77777777" w:rsidR="001F2B6D" w:rsidRDefault="00000000">
      <w:pPr>
        <w:spacing w:after="100" w:line="276" w:lineRule="auto"/>
        <w:ind w:firstLine="360"/>
        <w:jc w:val="both"/>
        <w:rPr>
          <w:color w:val="444444"/>
        </w:rPr>
      </w:pPr>
      <w:r>
        <w:rPr>
          <w:color w:val="444444"/>
        </w:rPr>
        <w:t>The model correctly identified 89% of athletes who subsequently sustained soft-tissue injuries within seven days (sensitivity 0.89, specificity 0.93). Figure 1 illustrates predicted versus actual sprint performance trajectories for three representative athletes across the 24-week season.</w:t>
      </w:r>
    </w:p>
    <w:p w14:paraId="4ABB632D" w14:textId="77777777" w:rsidR="00B54DD3" w:rsidRDefault="00B54DD3">
      <w:pPr>
        <w:spacing w:after="100" w:line="276" w:lineRule="auto"/>
        <w:ind w:firstLine="360"/>
        <w:jc w:val="both"/>
      </w:pP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60"/>
      </w:tblGrid>
      <w:tr w:rsidR="001F2B6D" w14:paraId="121CEB8B" w14:textId="77777777" w:rsidTr="00B54DD3">
        <w:trPr>
          <w:trHeight w:val="45"/>
          <w:jc w:val="center"/>
        </w:trPr>
        <w:tc>
          <w:tcPr>
            <w:tcW w:w="6532" w:type="dxa"/>
            <w:tcBorders>
              <w:top w:val="single" w:sz="4" w:space="0" w:color="CCCCCC"/>
              <w:left w:val="single" w:sz="4" w:space="0" w:color="CCCCCC"/>
              <w:bottom w:val="single" w:sz="4" w:space="0" w:color="CCCCCC"/>
              <w:right w:val="single" w:sz="4" w:space="0" w:color="CCCCCC"/>
            </w:tcBorders>
            <w:shd w:val="clear" w:color="auto" w:fill="F4F4F4"/>
            <w:tcMar>
              <w:top w:w="260" w:type="dxa"/>
              <w:left w:w="180" w:type="dxa"/>
              <w:bottom w:w="260" w:type="dxa"/>
              <w:right w:w="180" w:type="dxa"/>
            </w:tcMar>
          </w:tcPr>
          <w:p w14:paraId="5BDEEC52" w14:textId="77777777" w:rsidR="001F2B6D" w:rsidRDefault="00000000" w:rsidP="00B54DD3">
            <w:r>
              <w:rPr>
                <w:rFonts w:ascii="Arial" w:eastAsia="Arial" w:hAnsi="Arial" w:cs="Arial"/>
                <w:i/>
                <w:iCs/>
                <w:color w:val="999999"/>
                <w:sz w:val="17"/>
                <w:szCs w:val="17"/>
              </w:rPr>
              <w:lastRenderedPageBreak/>
              <w:t>[Insert Figure 1 here — min 300 dpi, max width 13 cm]</w:t>
            </w:r>
          </w:p>
        </w:tc>
      </w:tr>
    </w:tbl>
    <w:p w14:paraId="7A850098" w14:textId="77777777" w:rsidR="001F2B6D" w:rsidRDefault="00000000">
      <w:pPr>
        <w:spacing w:before="40" w:after="100"/>
        <w:jc w:val="center"/>
      </w:pPr>
      <w:r>
        <w:rPr>
          <w:b/>
          <w:bCs/>
          <w:color w:val="003D1F"/>
          <w:sz w:val="18"/>
          <w:szCs w:val="18"/>
        </w:rPr>
        <w:t xml:space="preserve">Figure 1. </w:t>
      </w:r>
      <w:r>
        <w:rPr>
          <w:i/>
          <w:iCs/>
          <w:color w:val="444444"/>
          <w:sz w:val="18"/>
          <w:szCs w:val="18"/>
        </w:rPr>
        <w:t>Predicted (dashed) versus actual (solid) sprint performance across the 24-week season for three representative athletes. Shaded bands indicate 95% prediction intervals.</w:t>
      </w:r>
    </w:p>
    <w:p w14:paraId="02666BD0" w14:textId="339214BC" w:rsidR="001F2B6D" w:rsidRPr="00F24CDF" w:rsidRDefault="00F24CDF" w:rsidP="00120D86">
      <w:pPr>
        <w:spacing w:before="160" w:after="60"/>
        <w:rPr>
          <w:color w:val="000000" w:themeColor="text1"/>
        </w:rPr>
      </w:pPr>
      <w:r w:rsidRPr="00F24CDF">
        <w:rPr>
          <w:rFonts w:ascii="Arial" w:eastAsia="Arial" w:hAnsi="Arial" w:cs="Arial"/>
          <w:b/>
          <w:bCs/>
          <w:color w:val="000000" w:themeColor="text1"/>
          <w:sz w:val="22"/>
          <w:szCs w:val="22"/>
        </w:rPr>
        <w:t>Discussion</w:t>
      </w:r>
    </w:p>
    <w:p w14:paraId="52E00787" w14:textId="77777777" w:rsidR="001F2B6D" w:rsidRDefault="00000000">
      <w:pPr>
        <w:spacing w:after="100" w:line="276" w:lineRule="auto"/>
        <w:ind w:firstLine="360"/>
        <w:jc w:val="both"/>
      </w:pPr>
      <w:r>
        <w:rPr>
          <w:color w:val="444444"/>
        </w:rPr>
        <w:t>The superior performance of the multi-task LSTM relative to all baselines corroborates the established importance of temporal context in athletic performance modelling [1, 3]. The 4.7–17.8 percentage point accuracy advantage over conventional models is consistent with prior work demonstrating that session-aggregate features discard clinically meaningful variation captured by raw time-series [2].</w:t>
      </w:r>
    </w:p>
    <w:p w14:paraId="778DB263" w14:textId="0E3D21BC" w:rsidR="001F2B6D" w:rsidRDefault="00000000">
      <w:pPr>
        <w:spacing w:after="100" w:line="276" w:lineRule="auto"/>
        <w:ind w:firstLine="360"/>
        <w:jc w:val="both"/>
      </w:pPr>
      <w:r>
        <w:rPr>
          <w:color w:val="444444"/>
        </w:rPr>
        <w:t xml:space="preserve">The high sensitivity (0.89) for injury prediction is particularly notable given the class imbalance (injury prevalence 14.2%), confirming that the model </w:t>
      </w:r>
      <w:r w:rsidR="00D10F01">
        <w:rPr>
          <w:color w:val="444444"/>
        </w:rPr>
        <w:t>generalizes</w:t>
      </w:r>
      <w:r>
        <w:rPr>
          <w:color w:val="444444"/>
        </w:rPr>
        <w:t xml:space="preserve"> beyond superficial workload thresholds. The finding that the 3–7 preceding sessions carry the greatest predictive weight aligns with acute physiological stress adaptation theory [4] and practically informs load management scheduling.</w:t>
      </w:r>
    </w:p>
    <w:p w14:paraId="120172D5" w14:textId="77777777" w:rsidR="001F2B6D" w:rsidRDefault="00000000">
      <w:pPr>
        <w:spacing w:after="100" w:line="276" w:lineRule="auto"/>
        <w:ind w:firstLine="360"/>
        <w:jc w:val="both"/>
      </w:pPr>
      <w:r>
        <w:rPr>
          <w:color w:val="444444"/>
        </w:rPr>
        <w:t>Limitations include the restriction to two sport disciplines, the omission of subjective athlete wellness data (perceived exertion, sleep quality), and an athlete-stratified rather than fully season-agnostic holdout, which may inflate performance estimates versus prospective deployment. Future work should integrate wellness metrics and validate the framework across a broader sport taxonomy.</w:t>
      </w:r>
    </w:p>
    <w:p w14:paraId="5EC42CF7" w14:textId="19915733" w:rsidR="001F2B6D" w:rsidRPr="00F24CDF" w:rsidRDefault="00F24CDF" w:rsidP="00120D86">
      <w:pPr>
        <w:spacing w:before="160" w:after="60"/>
        <w:rPr>
          <w:color w:val="000000" w:themeColor="text1"/>
        </w:rPr>
      </w:pPr>
      <w:r w:rsidRPr="00F24CDF">
        <w:rPr>
          <w:rFonts w:ascii="Arial" w:eastAsia="Arial" w:hAnsi="Arial" w:cs="Arial"/>
          <w:b/>
          <w:bCs/>
          <w:color w:val="000000" w:themeColor="text1"/>
          <w:sz w:val="22"/>
          <w:szCs w:val="22"/>
        </w:rPr>
        <w:t>Conclusion</w:t>
      </w:r>
    </w:p>
    <w:p w14:paraId="7875CF52" w14:textId="77777777" w:rsidR="001F2B6D" w:rsidRDefault="00000000">
      <w:pPr>
        <w:spacing w:after="100" w:line="276" w:lineRule="auto"/>
        <w:ind w:firstLine="360"/>
        <w:jc w:val="both"/>
      </w:pPr>
      <w:r>
        <w:rPr>
          <w:color w:val="444444"/>
        </w:rPr>
        <w:t>This study demonstrated that a multi-task LSTM network integrating multivariate wearable sensor time-series significantly outperforms conventional machine-learning models for simultaneous athlete performance prediction and injury-risk classification. The framework achieved 92.6% accuracy and AUC-ROC of 0.97 on a held-out elite athlete cohort, representing meaningful advances over existing approaches. These findings support the practical deployment of deep sequential models in sports performance analysis pipelines. The model's interpretability through attention weighting further supports its adoption as a decision-support tool for coaches and sports scientists.</w:t>
      </w:r>
    </w:p>
    <w:p w14:paraId="346B23EF" w14:textId="2E027B3B" w:rsidR="001F2B6D" w:rsidRPr="00F24CDF" w:rsidRDefault="00F24CDF" w:rsidP="00120D86">
      <w:pPr>
        <w:spacing w:before="160" w:after="60"/>
        <w:rPr>
          <w:color w:val="000000" w:themeColor="text1"/>
        </w:rPr>
      </w:pPr>
      <w:r w:rsidRPr="00F24CDF">
        <w:rPr>
          <w:rFonts w:ascii="Arial" w:eastAsia="Arial" w:hAnsi="Arial" w:cs="Arial"/>
          <w:b/>
          <w:bCs/>
          <w:color w:val="000000" w:themeColor="text1"/>
          <w:sz w:val="22"/>
          <w:szCs w:val="22"/>
        </w:rPr>
        <w:t>References</w:t>
      </w:r>
    </w:p>
    <w:p w14:paraId="11D1F645" w14:textId="77777777" w:rsidR="001F2B6D" w:rsidRDefault="00000000">
      <w:pPr>
        <w:spacing w:before="50" w:after="60"/>
        <w:ind w:left="540" w:hanging="540"/>
      </w:pPr>
      <w:r>
        <w:rPr>
          <w:color w:val="444444"/>
          <w:sz w:val="18"/>
          <w:szCs w:val="18"/>
        </w:rPr>
        <w:t>[1]</w:t>
      </w:r>
      <w:r>
        <w:rPr>
          <w:color w:val="444444"/>
          <w:sz w:val="18"/>
          <w:szCs w:val="18"/>
        </w:rPr>
        <w:tab/>
        <w:t xml:space="preserve">Claudino, J. G., Capanema, D. O., de Souza, T. V., </w:t>
      </w:r>
      <w:proofErr w:type="spellStart"/>
      <w:r>
        <w:rPr>
          <w:color w:val="444444"/>
          <w:sz w:val="18"/>
          <w:szCs w:val="18"/>
        </w:rPr>
        <w:t>Serrão</w:t>
      </w:r>
      <w:proofErr w:type="spellEnd"/>
      <w:r>
        <w:rPr>
          <w:color w:val="444444"/>
          <w:sz w:val="18"/>
          <w:szCs w:val="18"/>
        </w:rPr>
        <w:t xml:space="preserve">, J. C., Machado Pereira, A. C., &amp; </w:t>
      </w:r>
      <w:proofErr w:type="spellStart"/>
      <w:r>
        <w:rPr>
          <w:color w:val="444444"/>
          <w:sz w:val="18"/>
          <w:szCs w:val="18"/>
        </w:rPr>
        <w:t>Nassis</w:t>
      </w:r>
      <w:proofErr w:type="spellEnd"/>
      <w:r>
        <w:rPr>
          <w:color w:val="444444"/>
          <w:sz w:val="18"/>
          <w:szCs w:val="18"/>
        </w:rPr>
        <w:t xml:space="preserve">, G. P. (2019). Current approaches to the use of artificial intelligence for injury risk assessment and performance prediction in team sports: A systematic review. </w:t>
      </w:r>
      <w:r>
        <w:rPr>
          <w:i/>
          <w:iCs/>
          <w:color w:val="444444"/>
          <w:sz w:val="18"/>
          <w:szCs w:val="18"/>
        </w:rPr>
        <w:t>Sports Medicine — Open, 5</w:t>
      </w:r>
      <w:r>
        <w:rPr>
          <w:color w:val="444444"/>
          <w:sz w:val="18"/>
          <w:szCs w:val="18"/>
        </w:rPr>
        <w:t>(1), 28. https://doi.org/10.1186/s40798-019-0202-3</w:t>
      </w:r>
    </w:p>
    <w:p w14:paraId="3EE17B0D" w14:textId="77777777" w:rsidR="001F2B6D" w:rsidRDefault="00000000">
      <w:pPr>
        <w:spacing w:before="50" w:after="60"/>
        <w:ind w:left="540" w:hanging="540"/>
      </w:pPr>
      <w:r>
        <w:rPr>
          <w:color w:val="444444"/>
          <w:sz w:val="18"/>
          <w:szCs w:val="18"/>
        </w:rPr>
        <w:t>[2]</w:t>
      </w:r>
      <w:r>
        <w:rPr>
          <w:color w:val="444444"/>
          <w:sz w:val="18"/>
          <w:szCs w:val="18"/>
        </w:rPr>
        <w:tab/>
        <w:t xml:space="preserve">Gabbett, T. J. (2016). The training-injury prevention paradox: Should athletes be </w:t>
      </w:r>
      <w:proofErr w:type="gramStart"/>
      <w:r>
        <w:rPr>
          <w:color w:val="444444"/>
          <w:sz w:val="18"/>
          <w:szCs w:val="18"/>
        </w:rPr>
        <w:t>training</w:t>
      </w:r>
      <w:proofErr w:type="gramEnd"/>
      <w:r>
        <w:rPr>
          <w:color w:val="444444"/>
          <w:sz w:val="18"/>
          <w:szCs w:val="18"/>
        </w:rPr>
        <w:t xml:space="preserve"> smarter and harder? </w:t>
      </w:r>
      <w:r>
        <w:rPr>
          <w:i/>
          <w:iCs/>
          <w:color w:val="444444"/>
          <w:sz w:val="18"/>
          <w:szCs w:val="18"/>
        </w:rPr>
        <w:t>British Journal of Sports Medicine, 50</w:t>
      </w:r>
      <w:r>
        <w:rPr>
          <w:color w:val="444444"/>
          <w:sz w:val="18"/>
          <w:szCs w:val="18"/>
        </w:rPr>
        <w:t>(5), 273–280. https://doi.org/10.1136/bjsports-2015-095788</w:t>
      </w:r>
    </w:p>
    <w:p w14:paraId="6B3A6E39" w14:textId="77777777" w:rsidR="001F2B6D" w:rsidRDefault="00000000">
      <w:pPr>
        <w:spacing w:before="50" w:after="60"/>
        <w:ind w:left="540" w:hanging="540"/>
      </w:pPr>
      <w:r>
        <w:rPr>
          <w:color w:val="444444"/>
          <w:sz w:val="18"/>
          <w:szCs w:val="18"/>
        </w:rPr>
        <w:t>[3]</w:t>
      </w:r>
      <w:r>
        <w:rPr>
          <w:color w:val="444444"/>
          <w:sz w:val="18"/>
          <w:szCs w:val="18"/>
        </w:rPr>
        <w:tab/>
        <w:t xml:space="preserve">Hochreiter, S., &amp; </w:t>
      </w:r>
      <w:proofErr w:type="spellStart"/>
      <w:r>
        <w:rPr>
          <w:color w:val="444444"/>
          <w:sz w:val="18"/>
          <w:szCs w:val="18"/>
        </w:rPr>
        <w:t>Schmidhuber</w:t>
      </w:r>
      <w:proofErr w:type="spellEnd"/>
      <w:r>
        <w:rPr>
          <w:color w:val="444444"/>
          <w:sz w:val="18"/>
          <w:szCs w:val="18"/>
        </w:rPr>
        <w:t xml:space="preserve">, J. (1997). Long short-term memory. </w:t>
      </w:r>
      <w:r>
        <w:rPr>
          <w:i/>
          <w:iCs/>
          <w:color w:val="444444"/>
          <w:sz w:val="18"/>
          <w:szCs w:val="18"/>
        </w:rPr>
        <w:t>Neural Computation, 9</w:t>
      </w:r>
      <w:r>
        <w:rPr>
          <w:color w:val="444444"/>
          <w:sz w:val="18"/>
          <w:szCs w:val="18"/>
        </w:rPr>
        <w:t>(8), 1735–1780. https://doi.org/10.1162/neco.1997.9.8.1735</w:t>
      </w:r>
    </w:p>
    <w:p w14:paraId="3BA36C01" w14:textId="77777777" w:rsidR="001F2B6D" w:rsidRDefault="00000000">
      <w:pPr>
        <w:spacing w:before="50" w:after="60"/>
        <w:ind w:left="540" w:hanging="540"/>
      </w:pPr>
      <w:r>
        <w:rPr>
          <w:color w:val="444444"/>
          <w:sz w:val="18"/>
          <w:szCs w:val="18"/>
        </w:rPr>
        <w:t>[4]</w:t>
      </w:r>
      <w:r>
        <w:rPr>
          <w:color w:val="444444"/>
          <w:sz w:val="18"/>
          <w:szCs w:val="18"/>
        </w:rPr>
        <w:tab/>
        <w:t xml:space="preserve">Hulin, B. T., Gabbett, T. J., Lawson, D. W., Caputi, P., &amp; Sampson, J. A. (2016). The </w:t>
      </w:r>
      <w:proofErr w:type="spellStart"/>
      <w:proofErr w:type="gramStart"/>
      <w:r>
        <w:rPr>
          <w:color w:val="444444"/>
          <w:sz w:val="18"/>
          <w:szCs w:val="18"/>
        </w:rPr>
        <w:t>acute:chronic</w:t>
      </w:r>
      <w:proofErr w:type="spellEnd"/>
      <w:proofErr w:type="gramEnd"/>
      <w:r>
        <w:rPr>
          <w:color w:val="444444"/>
          <w:sz w:val="18"/>
          <w:szCs w:val="18"/>
        </w:rPr>
        <w:t xml:space="preserve"> workload ratio predicts injury: High chronic workload may decrease injury risk in elite rugby league players. </w:t>
      </w:r>
      <w:r>
        <w:rPr>
          <w:i/>
          <w:iCs/>
          <w:color w:val="444444"/>
          <w:sz w:val="18"/>
          <w:szCs w:val="18"/>
        </w:rPr>
        <w:t>British Journal of Sports Medicine, 50</w:t>
      </w:r>
      <w:r>
        <w:rPr>
          <w:color w:val="444444"/>
          <w:sz w:val="18"/>
          <w:szCs w:val="18"/>
        </w:rPr>
        <w:t>(4), 231–236. https://doi.org/10.1136/bjsports-2015-094817</w:t>
      </w:r>
    </w:p>
    <w:p w14:paraId="07734067" w14:textId="77777777" w:rsidR="001F2B6D" w:rsidRDefault="00000000">
      <w:pPr>
        <w:spacing w:before="50" w:after="60"/>
        <w:ind w:left="540" w:hanging="540"/>
      </w:pPr>
      <w:r>
        <w:rPr>
          <w:color w:val="444444"/>
          <w:sz w:val="18"/>
          <w:szCs w:val="18"/>
        </w:rPr>
        <w:t>[5]</w:t>
      </w:r>
      <w:r>
        <w:rPr>
          <w:color w:val="444444"/>
          <w:sz w:val="18"/>
          <w:szCs w:val="18"/>
        </w:rPr>
        <w:tab/>
      </w:r>
      <w:proofErr w:type="spellStart"/>
      <w:r>
        <w:rPr>
          <w:color w:val="444444"/>
          <w:sz w:val="18"/>
          <w:szCs w:val="18"/>
        </w:rPr>
        <w:t>Rajšp</w:t>
      </w:r>
      <w:proofErr w:type="spellEnd"/>
      <w:r>
        <w:rPr>
          <w:color w:val="444444"/>
          <w:sz w:val="18"/>
          <w:szCs w:val="18"/>
        </w:rPr>
        <w:t xml:space="preserve">, A., &amp; Fister, I. (2020). A systematic literature review of intelligent data analysis methods for smart sport training. </w:t>
      </w:r>
      <w:r>
        <w:rPr>
          <w:i/>
          <w:iCs/>
          <w:color w:val="444444"/>
          <w:sz w:val="18"/>
          <w:szCs w:val="18"/>
        </w:rPr>
        <w:t>Applied Sciences, 10</w:t>
      </w:r>
      <w:r>
        <w:rPr>
          <w:color w:val="444444"/>
          <w:sz w:val="18"/>
          <w:szCs w:val="18"/>
        </w:rPr>
        <w:t>(9), 3013. https://doi.org/10.3390/app10093013</w:t>
      </w:r>
    </w:p>
    <w:sectPr w:rsidR="001F2B6D" w:rsidSect="00FA5F02">
      <w:footerReference w:type="default" r:id="rId8"/>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D6C66" w14:textId="77777777" w:rsidR="00421078" w:rsidRDefault="00421078">
      <w:r>
        <w:separator/>
      </w:r>
    </w:p>
  </w:endnote>
  <w:endnote w:type="continuationSeparator" w:id="0">
    <w:p w14:paraId="062DF4E5" w14:textId="77777777" w:rsidR="00421078" w:rsidRDefault="0042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CAE42" w14:textId="77777777" w:rsidR="001F2B6D" w:rsidRDefault="00000000">
    <w:pPr>
      <w:pBdr>
        <w:top w:val="single" w:sz="4" w:space="3" w:color="CCCCCC"/>
      </w:pBdr>
      <w:spacing w:before="50"/>
      <w:jc w:val="right"/>
    </w:pPr>
    <w:r>
      <w:rPr>
        <w:rFonts w:ascii="Arial" w:eastAsia="Arial" w:hAnsi="Arial" w:cs="Arial"/>
        <w:color w:val="444444"/>
        <w:sz w:val="16"/>
        <w:szCs w:val="16"/>
      </w:rPr>
      <w:t xml:space="preserve">Page </w:t>
    </w:r>
    <w:r>
      <w:rPr>
        <w:rFonts w:ascii="Arial" w:eastAsia="Arial" w:hAnsi="Arial" w:cs="Arial"/>
        <w:color w:val="444444"/>
        <w:sz w:val="16"/>
        <w:szCs w:val="16"/>
      </w:rPr>
      <w:fldChar w:fldCharType="begin"/>
    </w:r>
    <w:r>
      <w:rPr>
        <w:rFonts w:ascii="Arial" w:eastAsia="Arial" w:hAnsi="Arial" w:cs="Arial"/>
        <w:color w:val="444444"/>
        <w:sz w:val="16"/>
        <w:szCs w:val="16"/>
      </w:rPr>
      <w:instrText>PAGE</w:instrText>
    </w:r>
    <w:r>
      <w:rPr>
        <w:rFonts w:ascii="Arial" w:eastAsia="Arial" w:hAnsi="Arial" w:cs="Arial"/>
        <w:color w:val="444444"/>
        <w:sz w:val="16"/>
        <w:szCs w:val="16"/>
      </w:rPr>
      <w:fldChar w:fldCharType="separate"/>
    </w:r>
    <w:r w:rsidR="001A69C6">
      <w:rPr>
        <w:rFonts w:ascii="Arial" w:eastAsia="Arial" w:hAnsi="Arial" w:cs="Arial"/>
        <w:noProof/>
        <w:color w:val="444444"/>
        <w:sz w:val="16"/>
        <w:szCs w:val="16"/>
      </w:rPr>
      <w:t>1</w:t>
    </w:r>
    <w:r>
      <w:rPr>
        <w:rFonts w:ascii="Arial" w:eastAsia="Arial" w:hAnsi="Arial" w:cs="Arial"/>
        <w:color w:val="444444"/>
        <w:sz w:val="16"/>
        <w:szCs w:val="16"/>
      </w:rPr>
      <w:fldChar w:fldCharType="end"/>
    </w:r>
    <w:r>
      <w:rPr>
        <w:rFonts w:ascii="Arial" w:eastAsia="Arial" w:hAnsi="Arial" w:cs="Arial"/>
        <w:color w:val="444444"/>
        <w:sz w:val="16"/>
        <w:szCs w:val="16"/>
      </w:rPr>
      <w:t xml:space="preserve"> of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1F9EA" w14:textId="77777777" w:rsidR="00421078" w:rsidRDefault="00421078">
      <w:r>
        <w:separator/>
      </w:r>
    </w:p>
  </w:footnote>
  <w:footnote w:type="continuationSeparator" w:id="0">
    <w:p w14:paraId="3F2970F9" w14:textId="77777777" w:rsidR="00421078" w:rsidRDefault="00421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50EB6"/>
    <w:multiLevelType w:val="hybridMultilevel"/>
    <w:tmpl w:val="6D2812DA"/>
    <w:lvl w:ilvl="0" w:tplc="73AE51F6">
      <w:start w:val="1"/>
      <w:numFmt w:val="bullet"/>
      <w:lvlText w:val="●"/>
      <w:lvlJc w:val="left"/>
      <w:pPr>
        <w:ind w:left="720" w:hanging="360"/>
      </w:pPr>
    </w:lvl>
    <w:lvl w:ilvl="1" w:tplc="A83689E4">
      <w:start w:val="1"/>
      <w:numFmt w:val="bullet"/>
      <w:lvlText w:val="○"/>
      <w:lvlJc w:val="left"/>
      <w:pPr>
        <w:ind w:left="1440" w:hanging="360"/>
      </w:pPr>
    </w:lvl>
    <w:lvl w:ilvl="2" w:tplc="9352435A">
      <w:start w:val="1"/>
      <w:numFmt w:val="bullet"/>
      <w:lvlText w:val="■"/>
      <w:lvlJc w:val="left"/>
      <w:pPr>
        <w:ind w:left="2160" w:hanging="360"/>
      </w:pPr>
    </w:lvl>
    <w:lvl w:ilvl="3" w:tplc="582861FC">
      <w:start w:val="1"/>
      <w:numFmt w:val="bullet"/>
      <w:lvlText w:val="●"/>
      <w:lvlJc w:val="left"/>
      <w:pPr>
        <w:ind w:left="2880" w:hanging="360"/>
      </w:pPr>
    </w:lvl>
    <w:lvl w:ilvl="4" w:tplc="9ABA6A98">
      <w:start w:val="1"/>
      <w:numFmt w:val="bullet"/>
      <w:lvlText w:val="○"/>
      <w:lvlJc w:val="left"/>
      <w:pPr>
        <w:ind w:left="3600" w:hanging="360"/>
      </w:pPr>
    </w:lvl>
    <w:lvl w:ilvl="5" w:tplc="B9D0F61E">
      <w:start w:val="1"/>
      <w:numFmt w:val="bullet"/>
      <w:lvlText w:val="■"/>
      <w:lvlJc w:val="left"/>
      <w:pPr>
        <w:ind w:left="4320" w:hanging="360"/>
      </w:pPr>
    </w:lvl>
    <w:lvl w:ilvl="6" w:tplc="64988FF6">
      <w:start w:val="1"/>
      <w:numFmt w:val="bullet"/>
      <w:lvlText w:val="●"/>
      <w:lvlJc w:val="left"/>
      <w:pPr>
        <w:ind w:left="5040" w:hanging="360"/>
      </w:pPr>
    </w:lvl>
    <w:lvl w:ilvl="7" w:tplc="4294BC3C">
      <w:start w:val="1"/>
      <w:numFmt w:val="bullet"/>
      <w:lvlText w:val="●"/>
      <w:lvlJc w:val="left"/>
      <w:pPr>
        <w:ind w:left="5760" w:hanging="360"/>
      </w:pPr>
    </w:lvl>
    <w:lvl w:ilvl="8" w:tplc="E428937C">
      <w:start w:val="1"/>
      <w:numFmt w:val="bullet"/>
      <w:lvlText w:val="●"/>
      <w:lvlJc w:val="left"/>
      <w:pPr>
        <w:ind w:left="6480" w:hanging="360"/>
      </w:pPr>
    </w:lvl>
  </w:abstractNum>
  <w:num w:numId="1" w16cid:durableId="27317654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B6D"/>
    <w:rsid w:val="000D2E56"/>
    <w:rsid w:val="00120D86"/>
    <w:rsid w:val="00161386"/>
    <w:rsid w:val="001A69C6"/>
    <w:rsid w:val="001C63AC"/>
    <w:rsid w:val="001E109E"/>
    <w:rsid w:val="001F2B6D"/>
    <w:rsid w:val="002359C8"/>
    <w:rsid w:val="0026342F"/>
    <w:rsid w:val="003233C8"/>
    <w:rsid w:val="00353B8E"/>
    <w:rsid w:val="00382277"/>
    <w:rsid w:val="00421078"/>
    <w:rsid w:val="004500D6"/>
    <w:rsid w:val="00547CC8"/>
    <w:rsid w:val="00817B19"/>
    <w:rsid w:val="00864462"/>
    <w:rsid w:val="00A43AAD"/>
    <w:rsid w:val="00A50E64"/>
    <w:rsid w:val="00B54DD3"/>
    <w:rsid w:val="00D10F01"/>
    <w:rsid w:val="00D828D3"/>
    <w:rsid w:val="00F002F4"/>
    <w:rsid w:val="00F24CDF"/>
    <w:rsid w:val="00FA5F02"/>
    <w:rsid w:val="00FD0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9E80B"/>
  <w15:docId w15:val="{FC06DD78-3548-44A2-8832-8500B1D4E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character" w:styleId="UnresolvedMention">
    <w:name w:val="Unresolved Mention"/>
    <w:basedOn w:val="DefaultParagraphFont"/>
    <w:uiPriority w:val="99"/>
    <w:semiHidden/>
    <w:unhideWhenUsed/>
    <w:rsid w:val="001A69C6"/>
    <w:rPr>
      <w:color w:val="605E5C"/>
      <w:shd w:val="clear" w:color="auto" w:fill="E1DFDD"/>
    </w:rPr>
  </w:style>
  <w:style w:type="paragraph" w:styleId="Header">
    <w:name w:val="header"/>
    <w:basedOn w:val="Normal"/>
    <w:link w:val="HeaderChar"/>
    <w:uiPriority w:val="99"/>
    <w:unhideWhenUsed/>
    <w:rsid w:val="001C63AC"/>
    <w:pPr>
      <w:tabs>
        <w:tab w:val="center" w:pos="4680"/>
        <w:tab w:val="right" w:pos="9360"/>
      </w:tabs>
    </w:pPr>
  </w:style>
  <w:style w:type="character" w:customStyle="1" w:styleId="HeaderChar">
    <w:name w:val="Header Char"/>
    <w:basedOn w:val="DefaultParagraphFont"/>
    <w:link w:val="Header"/>
    <w:uiPriority w:val="99"/>
    <w:rsid w:val="001C63AC"/>
  </w:style>
  <w:style w:type="paragraph" w:styleId="Footer">
    <w:name w:val="footer"/>
    <w:basedOn w:val="Normal"/>
    <w:link w:val="FooterChar"/>
    <w:uiPriority w:val="99"/>
    <w:unhideWhenUsed/>
    <w:rsid w:val="001C63AC"/>
    <w:pPr>
      <w:tabs>
        <w:tab w:val="center" w:pos="4680"/>
        <w:tab w:val="right" w:pos="9360"/>
      </w:tabs>
    </w:pPr>
  </w:style>
  <w:style w:type="character" w:customStyle="1" w:styleId="FooterChar">
    <w:name w:val="Footer Char"/>
    <w:basedOn w:val="DefaultParagraphFont"/>
    <w:link w:val="Footer"/>
    <w:uiPriority w:val="99"/>
    <w:rsid w:val="001C6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alrashidi@uaeu.ac.a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1473</Words>
  <Characters>9825</Characters>
  <Application>Microsoft Office Word</Application>
  <DocSecurity>0</DocSecurity>
  <Lines>148</Lines>
  <Paragraphs>66</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Dr Yasir Mahmood</cp:lastModifiedBy>
  <cp:revision>13</cp:revision>
  <dcterms:created xsi:type="dcterms:W3CDTF">2026-06-23T07:59:00Z</dcterms:created>
  <dcterms:modified xsi:type="dcterms:W3CDTF">2026-06-25T08:42:00Z</dcterms:modified>
</cp:coreProperties>
</file>